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05" w:rsidRPr="000B3318" w:rsidRDefault="00606A05" w:rsidP="00606A05">
      <w:pPr>
        <w:pStyle w:val="Naslov1"/>
      </w:pPr>
      <w:bookmarkStart w:id="0" w:name="_GoBack"/>
      <w:bookmarkEnd w:id="0"/>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606A05" w:rsidRPr="000B3318" w:rsidTr="005E2BAA">
        <w:tc>
          <w:tcPr>
            <w:tcW w:w="9648" w:type="dxa"/>
          </w:tcPr>
          <w:p w:rsidR="00606A05" w:rsidRPr="000B3318" w:rsidRDefault="00606A05" w:rsidP="005E2BAA">
            <w:pPr>
              <w:pStyle w:val="Naslov1"/>
              <w:ind w:left="1080"/>
            </w:pPr>
            <w:bookmarkStart w:id="1" w:name="_Toc353959588"/>
            <w:r w:rsidRPr="000B3318">
              <w:t>VZGOJA ZA MEDIJE - TISK</w:t>
            </w:r>
            <w:bookmarkEnd w:id="1"/>
          </w:p>
        </w:tc>
      </w:tr>
    </w:tbl>
    <w:p w:rsidR="00606A05" w:rsidRPr="000B3318" w:rsidRDefault="00606A05" w:rsidP="00606A05">
      <w:pPr>
        <w:jc w:val="both"/>
        <w:rPr>
          <w:rFonts w:ascii="Tahoma" w:hAnsi="Tahoma" w:cs="Tahoma"/>
          <w:sz w:val="20"/>
          <w:szCs w:val="20"/>
        </w:rPr>
      </w:pPr>
      <w:r>
        <w:rPr>
          <w:rFonts w:ascii="Tahoma" w:hAnsi="Tahoma" w:cs="Tahoma"/>
          <w:noProof/>
          <w:sz w:val="20"/>
          <w:szCs w:val="20"/>
        </w:rPr>
        <w:drawing>
          <wp:anchor distT="0" distB="0" distL="0" distR="0" simplePos="0" relativeHeight="251659264" behindDoc="0" locked="0" layoutInCell="1" allowOverlap="0">
            <wp:simplePos x="0" y="0"/>
            <wp:positionH relativeFrom="column">
              <wp:posOffset>-133350</wp:posOffset>
            </wp:positionH>
            <wp:positionV relativeFrom="line">
              <wp:posOffset>74930</wp:posOffset>
            </wp:positionV>
            <wp:extent cx="857250" cy="1028700"/>
            <wp:effectExtent l="0" t="0" r="0" b="0"/>
            <wp:wrapSquare wrapText="bothSides"/>
            <wp:docPr id="2" name="Slika 2" descr="T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Tis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A05" w:rsidRPr="000B3318" w:rsidRDefault="00606A05" w:rsidP="00606A05">
      <w:pPr>
        <w:jc w:val="both"/>
        <w:rPr>
          <w:rFonts w:ascii="Tahoma" w:hAnsi="Tahoma" w:cs="Tahoma"/>
          <w:sz w:val="20"/>
          <w:szCs w:val="20"/>
        </w:rPr>
      </w:pPr>
      <w:r w:rsidRPr="000B3318">
        <w:rPr>
          <w:rFonts w:ascii="Tahoma" w:hAnsi="Tahoma" w:cs="Tahoma"/>
          <w:sz w:val="20"/>
          <w:szCs w:val="20"/>
        </w:rPr>
        <w:t>Izbirni predmet TISK spada v sklop predmetov VZGOJA ZA MEDIJE.</w:t>
      </w:r>
    </w:p>
    <w:p w:rsidR="00606A05" w:rsidRPr="000B3318" w:rsidRDefault="00606A05" w:rsidP="00606A05">
      <w:pPr>
        <w:jc w:val="both"/>
        <w:rPr>
          <w:rFonts w:ascii="Tahoma" w:hAnsi="Tahoma" w:cs="Tahoma"/>
          <w:sz w:val="20"/>
          <w:szCs w:val="20"/>
        </w:rPr>
      </w:pPr>
      <w:r w:rsidRPr="000B3318">
        <w:rPr>
          <w:rFonts w:ascii="Tahoma" w:hAnsi="Tahoma" w:cs="Tahoma"/>
          <w:sz w:val="20"/>
          <w:szCs w:val="20"/>
        </w:rPr>
        <w:t>Je enoletni predmet v obsegu 35 ur</w:t>
      </w:r>
      <w:r w:rsidR="00477E8E">
        <w:rPr>
          <w:rFonts w:ascii="Tahoma" w:hAnsi="Tahoma" w:cs="Tahoma"/>
          <w:sz w:val="20"/>
          <w:szCs w:val="20"/>
        </w:rPr>
        <w:t>/ 9. razred 32 ur</w:t>
      </w:r>
      <w:r w:rsidRPr="000B3318">
        <w:rPr>
          <w:rFonts w:ascii="Tahoma" w:hAnsi="Tahoma" w:cs="Tahoma"/>
          <w:sz w:val="20"/>
          <w:szCs w:val="20"/>
        </w:rPr>
        <w:t>, na urniku je eno uro na teden. Izbereš ga lahko samo enkrat v zadnjem triletju.</w:t>
      </w:r>
    </w:p>
    <w:p w:rsidR="00606A05" w:rsidRPr="000B3318" w:rsidRDefault="00606A05" w:rsidP="00606A05">
      <w:pPr>
        <w:jc w:val="both"/>
        <w:rPr>
          <w:rFonts w:ascii="Tahoma" w:hAnsi="Tahoma" w:cs="Tahoma"/>
          <w:sz w:val="20"/>
          <w:szCs w:val="20"/>
        </w:rPr>
      </w:pPr>
    </w:p>
    <w:p w:rsidR="00606A05" w:rsidRPr="000B3318" w:rsidRDefault="00606A05" w:rsidP="00606A05">
      <w:pPr>
        <w:jc w:val="both"/>
        <w:rPr>
          <w:rFonts w:ascii="Tahoma" w:hAnsi="Tahoma" w:cs="Tahoma"/>
          <w:sz w:val="20"/>
          <w:szCs w:val="20"/>
        </w:rPr>
      </w:pPr>
      <w:r w:rsidRPr="000B3318">
        <w:rPr>
          <w:rFonts w:ascii="Tahoma" w:hAnsi="Tahoma" w:cs="Tahoma"/>
          <w:sz w:val="20"/>
          <w:szCs w:val="20"/>
        </w:rPr>
        <w:t>V današnjem času je vzgoja za medije zelo pomembna, saj se preko medijev učenci učijo, se sporazumevajo in spoznavajo svet. Vzgoja za medije učence spodbuja, da se estetsko izražajo, izoblikujejo stališča in kritično vrednotijo tisk, radijske in televizijske oddaje, hkrati pa se tudi sami preizkušajo v ustvarjanju časopisa, radijskih oddaj ali sodelujejo pri nastajanju televizijskega programa.</w:t>
      </w:r>
    </w:p>
    <w:p w:rsidR="00606A05" w:rsidRPr="000B3318" w:rsidRDefault="00606A05" w:rsidP="00606A05">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260"/>
        <w:gridCol w:w="1260"/>
        <w:gridCol w:w="1800"/>
      </w:tblGrid>
      <w:tr w:rsidR="00606A05" w:rsidRPr="000B3318" w:rsidTr="005E2BAA">
        <w:tc>
          <w:tcPr>
            <w:tcW w:w="4968"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Vsebina</w:t>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TISK</w:t>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RADIO</w:t>
            </w:r>
          </w:p>
        </w:tc>
        <w:tc>
          <w:tcPr>
            <w:tcW w:w="180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TELEVIZIJA</w:t>
            </w:r>
          </w:p>
        </w:tc>
      </w:tr>
      <w:tr w:rsidR="00606A05" w:rsidRPr="000B3318" w:rsidTr="005E2BAA">
        <w:tc>
          <w:tcPr>
            <w:tcW w:w="4968"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Skupne značilnosti medijev</w:t>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80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r>
      <w:tr w:rsidR="00606A05" w:rsidRPr="000B3318" w:rsidTr="005E2BAA">
        <w:tc>
          <w:tcPr>
            <w:tcW w:w="4968"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Nastanek in razvoj medijev</w:t>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80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r>
      <w:tr w:rsidR="00606A05" w:rsidRPr="000B3318" w:rsidTr="005E2BAA">
        <w:tc>
          <w:tcPr>
            <w:tcW w:w="4968"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Značilnosti obravnavanega medija</w:t>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80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r>
      <w:tr w:rsidR="00606A05" w:rsidRPr="000B3318" w:rsidTr="005E2BAA">
        <w:tc>
          <w:tcPr>
            <w:tcW w:w="4968"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Delitev obravnavanega medija</w:t>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80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r>
      <w:tr w:rsidR="00606A05" w:rsidRPr="000B3318" w:rsidTr="005E2BAA">
        <w:tc>
          <w:tcPr>
            <w:tcW w:w="4968"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Novinarska etika</w:t>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800" w:type="dxa"/>
          </w:tcPr>
          <w:p w:rsidR="00606A05" w:rsidRPr="000B3318" w:rsidRDefault="00606A05" w:rsidP="005E2BAA">
            <w:pPr>
              <w:jc w:val="both"/>
              <w:rPr>
                <w:rFonts w:ascii="Tahoma" w:hAnsi="Tahoma" w:cs="Tahoma"/>
                <w:sz w:val="20"/>
                <w:szCs w:val="20"/>
              </w:rPr>
            </w:pPr>
          </w:p>
        </w:tc>
      </w:tr>
      <w:tr w:rsidR="00606A05" w:rsidRPr="000B3318" w:rsidTr="005E2BAA">
        <w:tc>
          <w:tcPr>
            <w:tcW w:w="4968"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Oglaševanje in propaganda</w:t>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800" w:type="dxa"/>
          </w:tcPr>
          <w:p w:rsidR="00606A05" w:rsidRPr="000B3318" w:rsidRDefault="00606A05" w:rsidP="005E2BAA">
            <w:pPr>
              <w:jc w:val="both"/>
              <w:rPr>
                <w:rFonts w:ascii="Tahoma" w:hAnsi="Tahoma" w:cs="Tahoma"/>
                <w:sz w:val="20"/>
                <w:szCs w:val="20"/>
              </w:rPr>
            </w:pPr>
          </w:p>
        </w:tc>
      </w:tr>
      <w:tr w:rsidR="00606A05" w:rsidRPr="000B3318" w:rsidTr="005E2BAA">
        <w:tc>
          <w:tcPr>
            <w:tcW w:w="4968"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Konstrukcija medijske realnosti</w:t>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800" w:type="dxa"/>
          </w:tcPr>
          <w:p w:rsidR="00606A05" w:rsidRPr="000B3318" w:rsidRDefault="00606A05" w:rsidP="005E2BAA">
            <w:pPr>
              <w:jc w:val="both"/>
              <w:rPr>
                <w:rFonts w:ascii="Tahoma" w:hAnsi="Tahoma" w:cs="Tahoma"/>
                <w:sz w:val="20"/>
                <w:szCs w:val="20"/>
              </w:rPr>
            </w:pPr>
          </w:p>
        </w:tc>
      </w:tr>
      <w:tr w:rsidR="00606A05" w:rsidRPr="000B3318" w:rsidTr="005E2BAA">
        <w:tc>
          <w:tcPr>
            <w:tcW w:w="4968"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Delo novinarja</w:t>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80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r>
      <w:tr w:rsidR="00606A05" w:rsidRPr="000B3318" w:rsidTr="005E2BAA">
        <w:tc>
          <w:tcPr>
            <w:tcW w:w="4968"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Internet</w:t>
            </w:r>
          </w:p>
        </w:tc>
        <w:tc>
          <w:tcPr>
            <w:tcW w:w="1260" w:type="dxa"/>
          </w:tcPr>
          <w:p w:rsidR="00606A05" w:rsidRPr="000B3318" w:rsidRDefault="00606A05" w:rsidP="005E2BAA">
            <w:pPr>
              <w:jc w:val="both"/>
              <w:rPr>
                <w:rFonts w:ascii="Tahoma" w:hAnsi="Tahoma" w:cs="Tahoma"/>
                <w:sz w:val="20"/>
                <w:szCs w:val="20"/>
              </w:rPr>
            </w:pPr>
          </w:p>
        </w:tc>
        <w:tc>
          <w:tcPr>
            <w:tcW w:w="1260" w:type="dxa"/>
          </w:tcPr>
          <w:p w:rsidR="00606A05" w:rsidRPr="000B3318" w:rsidRDefault="00606A05" w:rsidP="005E2BAA">
            <w:pPr>
              <w:jc w:val="both"/>
              <w:rPr>
                <w:rFonts w:ascii="Tahoma" w:hAnsi="Tahoma" w:cs="Tahoma"/>
                <w:sz w:val="20"/>
                <w:szCs w:val="20"/>
              </w:rPr>
            </w:pPr>
          </w:p>
        </w:tc>
        <w:tc>
          <w:tcPr>
            <w:tcW w:w="180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r>
      <w:tr w:rsidR="00606A05" w:rsidRPr="000B3318" w:rsidTr="005E2BAA">
        <w:tc>
          <w:tcPr>
            <w:tcW w:w="4968"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Učinki množičnih medijev</w:t>
            </w:r>
          </w:p>
        </w:tc>
        <w:tc>
          <w:tcPr>
            <w:tcW w:w="1260" w:type="dxa"/>
          </w:tcPr>
          <w:p w:rsidR="00606A05" w:rsidRPr="000B3318" w:rsidRDefault="00606A05" w:rsidP="005E2BAA">
            <w:pPr>
              <w:jc w:val="both"/>
              <w:rPr>
                <w:rFonts w:ascii="Tahoma" w:hAnsi="Tahoma" w:cs="Tahoma"/>
                <w:sz w:val="20"/>
                <w:szCs w:val="20"/>
              </w:rPr>
            </w:pPr>
          </w:p>
        </w:tc>
        <w:tc>
          <w:tcPr>
            <w:tcW w:w="1260" w:type="dxa"/>
          </w:tcPr>
          <w:p w:rsidR="00606A05" w:rsidRPr="000B3318" w:rsidRDefault="00606A05" w:rsidP="005E2BAA">
            <w:pPr>
              <w:jc w:val="both"/>
              <w:rPr>
                <w:rFonts w:ascii="Tahoma" w:hAnsi="Tahoma" w:cs="Tahoma"/>
                <w:sz w:val="20"/>
                <w:szCs w:val="20"/>
              </w:rPr>
            </w:pPr>
          </w:p>
        </w:tc>
        <w:tc>
          <w:tcPr>
            <w:tcW w:w="180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r>
      <w:tr w:rsidR="00606A05" w:rsidRPr="000B3318" w:rsidTr="005E2BAA">
        <w:tc>
          <w:tcPr>
            <w:tcW w:w="4968"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Mediji in idoli</w:t>
            </w:r>
          </w:p>
        </w:tc>
        <w:tc>
          <w:tcPr>
            <w:tcW w:w="1260" w:type="dxa"/>
          </w:tcPr>
          <w:p w:rsidR="00606A05" w:rsidRPr="000B3318" w:rsidRDefault="00606A05" w:rsidP="005E2BAA">
            <w:pPr>
              <w:jc w:val="both"/>
              <w:rPr>
                <w:rFonts w:ascii="Tahoma" w:hAnsi="Tahoma" w:cs="Tahoma"/>
                <w:sz w:val="20"/>
                <w:szCs w:val="20"/>
              </w:rPr>
            </w:pPr>
          </w:p>
        </w:tc>
        <w:tc>
          <w:tcPr>
            <w:tcW w:w="1260" w:type="dxa"/>
          </w:tcPr>
          <w:p w:rsidR="00606A05" w:rsidRPr="000B3318" w:rsidRDefault="00606A05" w:rsidP="005E2BAA">
            <w:pPr>
              <w:jc w:val="both"/>
              <w:rPr>
                <w:rFonts w:ascii="Tahoma" w:hAnsi="Tahoma" w:cs="Tahoma"/>
                <w:sz w:val="20"/>
                <w:szCs w:val="20"/>
              </w:rPr>
            </w:pPr>
          </w:p>
        </w:tc>
        <w:tc>
          <w:tcPr>
            <w:tcW w:w="180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r>
      <w:tr w:rsidR="00606A05" w:rsidRPr="000B3318" w:rsidTr="005E2BAA">
        <w:tc>
          <w:tcPr>
            <w:tcW w:w="4968"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Mediji in nasilje</w:t>
            </w:r>
          </w:p>
        </w:tc>
        <w:tc>
          <w:tcPr>
            <w:tcW w:w="1260" w:type="dxa"/>
          </w:tcPr>
          <w:p w:rsidR="00606A05" w:rsidRPr="000B3318" w:rsidRDefault="00606A05" w:rsidP="005E2BAA">
            <w:pPr>
              <w:jc w:val="both"/>
              <w:rPr>
                <w:rFonts w:ascii="Tahoma" w:hAnsi="Tahoma" w:cs="Tahoma"/>
                <w:sz w:val="20"/>
                <w:szCs w:val="20"/>
              </w:rPr>
            </w:pPr>
          </w:p>
        </w:tc>
        <w:tc>
          <w:tcPr>
            <w:tcW w:w="1260" w:type="dxa"/>
          </w:tcPr>
          <w:p w:rsidR="00606A05" w:rsidRPr="000B3318" w:rsidRDefault="00606A05" w:rsidP="005E2BAA">
            <w:pPr>
              <w:jc w:val="both"/>
              <w:rPr>
                <w:rFonts w:ascii="Tahoma" w:hAnsi="Tahoma" w:cs="Tahoma"/>
                <w:sz w:val="20"/>
                <w:szCs w:val="20"/>
              </w:rPr>
            </w:pPr>
          </w:p>
        </w:tc>
        <w:tc>
          <w:tcPr>
            <w:tcW w:w="180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r>
      <w:tr w:rsidR="00606A05" w:rsidRPr="000B3318" w:rsidTr="005E2BAA">
        <w:tc>
          <w:tcPr>
            <w:tcW w:w="4968"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Mediji in stereotipi</w:t>
            </w:r>
          </w:p>
        </w:tc>
        <w:tc>
          <w:tcPr>
            <w:tcW w:w="1260" w:type="dxa"/>
          </w:tcPr>
          <w:p w:rsidR="00606A05" w:rsidRPr="000B3318" w:rsidRDefault="00606A05" w:rsidP="005E2BAA">
            <w:pPr>
              <w:jc w:val="both"/>
              <w:rPr>
                <w:rFonts w:ascii="Tahoma" w:hAnsi="Tahoma" w:cs="Tahoma"/>
                <w:sz w:val="20"/>
                <w:szCs w:val="20"/>
              </w:rPr>
            </w:pPr>
          </w:p>
        </w:tc>
        <w:tc>
          <w:tcPr>
            <w:tcW w:w="1260" w:type="dxa"/>
          </w:tcPr>
          <w:p w:rsidR="00606A05" w:rsidRPr="000B3318" w:rsidRDefault="00606A05" w:rsidP="005E2BAA">
            <w:pPr>
              <w:jc w:val="both"/>
              <w:rPr>
                <w:rFonts w:ascii="Tahoma" w:hAnsi="Tahoma" w:cs="Tahoma"/>
                <w:sz w:val="20"/>
                <w:szCs w:val="20"/>
              </w:rPr>
            </w:pPr>
          </w:p>
        </w:tc>
        <w:tc>
          <w:tcPr>
            <w:tcW w:w="180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r>
      <w:tr w:rsidR="00606A05" w:rsidRPr="000B3318" w:rsidTr="005E2BAA">
        <w:tc>
          <w:tcPr>
            <w:tcW w:w="4968"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Medijsko občinstvo</w:t>
            </w:r>
          </w:p>
        </w:tc>
        <w:tc>
          <w:tcPr>
            <w:tcW w:w="1260" w:type="dxa"/>
          </w:tcPr>
          <w:p w:rsidR="00606A05" w:rsidRPr="000B3318" w:rsidRDefault="00606A05" w:rsidP="005E2BAA">
            <w:pPr>
              <w:jc w:val="both"/>
              <w:rPr>
                <w:rFonts w:ascii="Tahoma" w:hAnsi="Tahoma" w:cs="Tahoma"/>
                <w:sz w:val="20"/>
                <w:szCs w:val="20"/>
              </w:rPr>
            </w:pP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80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r>
      <w:tr w:rsidR="00606A05" w:rsidRPr="000B3318" w:rsidTr="005E2BAA">
        <w:tc>
          <w:tcPr>
            <w:tcW w:w="4968"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t>Kako postati kritični medijski posameznik</w:t>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26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c>
          <w:tcPr>
            <w:tcW w:w="1800" w:type="dxa"/>
          </w:tcPr>
          <w:p w:rsidR="00606A05" w:rsidRPr="000B3318" w:rsidRDefault="00606A05" w:rsidP="005E2BAA">
            <w:pPr>
              <w:jc w:val="both"/>
              <w:rPr>
                <w:rFonts w:ascii="Tahoma" w:hAnsi="Tahoma" w:cs="Tahoma"/>
                <w:sz w:val="20"/>
                <w:szCs w:val="20"/>
              </w:rPr>
            </w:pPr>
            <w:r w:rsidRPr="000B3318">
              <w:rPr>
                <w:rFonts w:ascii="Tahoma" w:hAnsi="Tahoma" w:cs="Tahoma"/>
                <w:sz w:val="20"/>
                <w:szCs w:val="20"/>
              </w:rPr>
              <w:sym w:font="Symbol" w:char="F0B7"/>
            </w:r>
          </w:p>
        </w:tc>
      </w:tr>
    </w:tbl>
    <w:p w:rsidR="00606A05" w:rsidRPr="000B3318" w:rsidRDefault="00606A05" w:rsidP="00606A05">
      <w:pPr>
        <w:jc w:val="both"/>
        <w:rPr>
          <w:rFonts w:ascii="Tahoma" w:hAnsi="Tahoma" w:cs="Tahoma"/>
          <w:sz w:val="20"/>
          <w:szCs w:val="20"/>
        </w:rPr>
      </w:pPr>
    </w:p>
    <w:p w:rsidR="00606A05" w:rsidRPr="000B3318" w:rsidRDefault="00606A05" w:rsidP="00606A05">
      <w:pPr>
        <w:jc w:val="both"/>
        <w:rPr>
          <w:rFonts w:ascii="Tahoma" w:hAnsi="Tahoma" w:cs="Tahoma"/>
          <w:sz w:val="20"/>
          <w:szCs w:val="20"/>
        </w:rPr>
      </w:pPr>
    </w:p>
    <w:p w:rsidR="00606A05" w:rsidRPr="000B3318" w:rsidRDefault="00606A05" w:rsidP="00606A05">
      <w:pPr>
        <w:jc w:val="both"/>
        <w:rPr>
          <w:rFonts w:ascii="Tahoma" w:hAnsi="Tahoma" w:cs="Tahoma"/>
          <w:sz w:val="20"/>
          <w:szCs w:val="20"/>
        </w:rPr>
      </w:pPr>
    </w:p>
    <w:p w:rsidR="00606A05" w:rsidRPr="000B3318" w:rsidRDefault="00606A05" w:rsidP="00606A05">
      <w:pPr>
        <w:jc w:val="both"/>
        <w:rPr>
          <w:rFonts w:ascii="Tahoma" w:hAnsi="Tahoma" w:cs="Tahoma"/>
          <w:sz w:val="20"/>
          <w:szCs w:val="20"/>
        </w:rPr>
      </w:pPr>
      <w:r w:rsidRPr="000B3318">
        <w:rPr>
          <w:rFonts w:ascii="Tahoma" w:hAnsi="Tahoma" w:cs="Tahoma"/>
          <w:sz w:val="20"/>
          <w:szCs w:val="20"/>
        </w:rPr>
        <w:t xml:space="preserve">                                </w:t>
      </w:r>
      <w:r>
        <w:rPr>
          <w:rFonts w:ascii="Tahoma" w:hAnsi="Tahoma" w:cs="Tahoma"/>
          <w:noProof/>
          <w:sz w:val="20"/>
          <w:szCs w:val="20"/>
        </w:rPr>
        <w:drawing>
          <wp:inline distT="0" distB="0" distL="0" distR="0">
            <wp:extent cx="1232535" cy="1129030"/>
            <wp:effectExtent l="0" t="0" r="5715" b="0"/>
            <wp:docPr id="1" name="Slika 1" descr="MCj03077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07729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2535" cy="1129030"/>
                    </a:xfrm>
                    <a:prstGeom prst="rect">
                      <a:avLst/>
                    </a:prstGeom>
                    <a:noFill/>
                    <a:ln>
                      <a:noFill/>
                    </a:ln>
                  </pic:spPr>
                </pic:pic>
              </a:graphicData>
            </a:graphic>
          </wp:inline>
        </w:drawing>
      </w:r>
    </w:p>
    <w:p w:rsidR="00606A05" w:rsidRPr="000B3318" w:rsidRDefault="00606A05" w:rsidP="00606A05">
      <w:pPr>
        <w:jc w:val="right"/>
        <w:rPr>
          <w:rFonts w:ascii="Tahoma" w:hAnsi="Tahoma" w:cs="Tahoma"/>
          <w:sz w:val="20"/>
          <w:szCs w:val="20"/>
        </w:rPr>
      </w:pPr>
      <w:r w:rsidRPr="000B3318">
        <w:rPr>
          <w:rFonts w:ascii="Tahoma" w:hAnsi="Tahoma" w:cs="Tahoma"/>
          <w:sz w:val="20"/>
          <w:szCs w:val="20"/>
        </w:rPr>
        <w:tab/>
      </w:r>
      <w:r w:rsidRPr="000B3318">
        <w:rPr>
          <w:rFonts w:ascii="Tahoma" w:hAnsi="Tahoma" w:cs="Tahoma"/>
          <w:sz w:val="20"/>
          <w:szCs w:val="20"/>
        </w:rPr>
        <w:tab/>
      </w:r>
      <w:r w:rsidRPr="000B3318">
        <w:rPr>
          <w:rFonts w:ascii="Tahoma" w:hAnsi="Tahoma" w:cs="Tahoma"/>
          <w:sz w:val="20"/>
          <w:szCs w:val="20"/>
        </w:rPr>
        <w:tab/>
      </w:r>
      <w:r w:rsidRPr="000B3318">
        <w:rPr>
          <w:rFonts w:ascii="Tahoma" w:hAnsi="Tahoma" w:cs="Tahoma"/>
          <w:sz w:val="20"/>
          <w:szCs w:val="20"/>
        </w:rPr>
        <w:tab/>
      </w:r>
      <w:r w:rsidRPr="000B3318">
        <w:rPr>
          <w:rFonts w:ascii="Tahoma" w:hAnsi="Tahoma" w:cs="Tahoma"/>
          <w:sz w:val="20"/>
          <w:szCs w:val="20"/>
        </w:rPr>
        <w:tab/>
      </w:r>
      <w:r w:rsidRPr="000B3318">
        <w:rPr>
          <w:rFonts w:ascii="Tahoma" w:hAnsi="Tahoma" w:cs="Tahoma"/>
          <w:sz w:val="20"/>
          <w:szCs w:val="20"/>
        </w:rPr>
        <w:tab/>
      </w:r>
      <w:r w:rsidRPr="000B3318">
        <w:rPr>
          <w:rFonts w:ascii="Tahoma" w:hAnsi="Tahoma" w:cs="Tahoma"/>
          <w:sz w:val="20"/>
          <w:szCs w:val="20"/>
        </w:rPr>
        <w:tab/>
        <w:t xml:space="preserve">Katjuša Kovačič     </w:t>
      </w:r>
    </w:p>
    <w:p w:rsidR="00606A05" w:rsidRPr="000B3318" w:rsidRDefault="00606A05" w:rsidP="00606A05">
      <w:pPr>
        <w:jc w:val="both"/>
        <w:rPr>
          <w:rFonts w:ascii="Tahoma" w:hAnsi="Tahoma" w:cs="Tahoma"/>
          <w:sz w:val="20"/>
          <w:szCs w:val="20"/>
        </w:rPr>
      </w:pPr>
      <w:r w:rsidRPr="000B3318">
        <w:rPr>
          <w:rFonts w:ascii="Tahoma" w:hAnsi="Tahoma" w:cs="Tahoma"/>
          <w:sz w:val="20"/>
          <w:szCs w:val="20"/>
        </w:rPr>
        <w:t xml:space="preserve">                             </w:t>
      </w:r>
    </w:p>
    <w:p w:rsidR="00F336B1" w:rsidRPr="00606A05" w:rsidRDefault="00F336B1" w:rsidP="00606A05">
      <w:pPr>
        <w:jc w:val="both"/>
        <w:rPr>
          <w:rFonts w:ascii="Tahoma" w:hAnsi="Tahoma" w:cs="Tahoma"/>
          <w:sz w:val="20"/>
          <w:szCs w:val="20"/>
        </w:rPr>
      </w:pPr>
    </w:p>
    <w:sectPr w:rsidR="00F336B1" w:rsidRPr="00606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42"/>
    <w:rsid w:val="00116242"/>
    <w:rsid w:val="00477E8E"/>
    <w:rsid w:val="00606A05"/>
    <w:rsid w:val="00D97423"/>
    <w:rsid w:val="00F336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06A0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606A05"/>
    <w:pPr>
      <w:keepNext/>
      <w:spacing w:before="240" w:after="60"/>
      <w:outlineLvl w:val="0"/>
    </w:pPr>
    <w:rPr>
      <w:rFonts w:ascii="Arial" w:hAnsi="Arial"/>
      <w:b/>
      <w:kern w:val="28"/>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06A05"/>
    <w:rPr>
      <w:rFonts w:ascii="Arial" w:eastAsia="Times New Roman" w:hAnsi="Arial" w:cs="Times New Roman"/>
      <w:b/>
      <w:kern w:val="28"/>
      <w:sz w:val="28"/>
      <w:szCs w:val="20"/>
      <w:lang w:eastAsia="sl-SI"/>
    </w:rPr>
  </w:style>
  <w:style w:type="paragraph" w:styleId="Besedilooblaka">
    <w:name w:val="Balloon Text"/>
    <w:basedOn w:val="Navaden"/>
    <w:link w:val="BesedilooblakaZnak"/>
    <w:uiPriority w:val="99"/>
    <w:semiHidden/>
    <w:unhideWhenUsed/>
    <w:rsid w:val="00606A0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6A05"/>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06A0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606A05"/>
    <w:pPr>
      <w:keepNext/>
      <w:spacing w:before="240" w:after="60"/>
      <w:outlineLvl w:val="0"/>
    </w:pPr>
    <w:rPr>
      <w:rFonts w:ascii="Arial" w:hAnsi="Arial"/>
      <w:b/>
      <w:kern w:val="28"/>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06A05"/>
    <w:rPr>
      <w:rFonts w:ascii="Arial" w:eastAsia="Times New Roman" w:hAnsi="Arial" w:cs="Times New Roman"/>
      <w:b/>
      <w:kern w:val="28"/>
      <w:sz w:val="28"/>
      <w:szCs w:val="20"/>
      <w:lang w:eastAsia="sl-SI"/>
    </w:rPr>
  </w:style>
  <w:style w:type="paragraph" w:styleId="Besedilooblaka">
    <w:name w:val="Balloon Text"/>
    <w:basedOn w:val="Navaden"/>
    <w:link w:val="BesedilooblakaZnak"/>
    <w:uiPriority w:val="99"/>
    <w:semiHidden/>
    <w:unhideWhenUsed/>
    <w:rsid w:val="00606A0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6A05"/>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Ivana Skvarče</dc:creator>
  <cp:keywords/>
  <dc:description/>
  <cp:lastModifiedBy>OŠ Ivana Skvarče</cp:lastModifiedBy>
  <cp:revision>4</cp:revision>
  <dcterms:created xsi:type="dcterms:W3CDTF">2016-03-21T16:37:00Z</dcterms:created>
  <dcterms:modified xsi:type="dcterms:W3CDTF">2016-04-04T05:45:00Z</dcterms:modified>
</cp:coreProperties>
</file>